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Times New Roman" w:hAnsi="Times New Roman" w:eastAsia="宋体" w:cs="Times New Roman"/>
          <w:b/>
          <w:sz w:val="28"/>
          <w:szCs w:val="28"/>
          <w:lang w:eastAsia="zh-CN"/>
        </w:rPr>
      </w:pPr>
      <w:r>
        <w:rPr>
          <w:rFonts w:hint="eastAsia" w:ascii="Times New Roman" w:hAnsi="Times New Roman" w:eastAsia="宋体" w:cs="Times New Roman"/>
          <w:b/>
          <w:sz w:val="28"/>
          <w:szCs w:val="28"/>
          <w:lang w:eastAsia="zh-CN"/>
        </w:rPr>
        <w:t>附件：</w:t>
      </w:r>
      <w:bookmarkStart w:id="0" w:name="_GoBack"/>
      <w:bookmarkEnd w:id="0"/>
    </w:p>
    <w:p>
      <w:pPr>
        <w:spacing w:line="360" w:lineRule="auto"/>
        <w:jc w:val="center"/>
        <w:rPr>
          <w:rFonts w:ascii="Times New Roman" w:hAnsi="Times New Roman" w:eastAsia="宋体" w:cs="Times New Roman"/>
          <w:b/>
          <w:sz w:val="28"/>
          <w:szCs w:val="28"/>
        </w:rPr>
      </w:pPr>
      <w:r>
        <w:rPr>
          <w:rFonts w:hint="eastAsia" w:ascii="Times New Roman" w:hAnsi="Times New Roman" w:eastAsia="宋体" w:cs="Times New Roman"/>
          <w:b/>
          <w:sz w:val="28"/>
          <w:szCs w:val="28"/>
        </w:rPr>
        <w:t xml:space="preserve">专 家 </w:t>
      </w:r>
      <w:r>
        <w:rPr>
          <w:rFonts w:ascii="Times New Roman" w:hAnsi="Times New Roman" w:eastAsia="宋体" w:cs="Times New Roman"/>
          <w:b/>
          <w:sz w:val="28"/>
          <w:szCs w:val="28"/>
        </w:rPr>
        <w:t>简</w:t>
      </w:r>
      <w:r>
        <w:rPr>
          <w:rFonts w:hint="eastAsia" w:ascii="Times New Roman" w:hAnsi="Times New Roman" w:eastAsia="宋体" w:cs="Times New Roman"/>
          <w:b/>
          <w:sz w:val="28"/>
          <w:szCs w:val="28"/>
          <w:lang w:val="en-US" w:eastAsia="zh-CN"/>
        </w:rPr>
        <w:t xml:space="preserve"> </w:t>
      </w:r>
      <w:r>
        <w:rPr>
          <w:rFonts w:ascii="Times New Roman" w:hAnsi="Times New Roman" w:eastAsia="宋体" w:cs="Times New Roman"/>
          <w:b/>
          <w:sz w:val="28"/>
          <w:szCs w:val="28"/>
        </w:rPr>
        <w:t>介</w:t>
      </w:r>
    </w:p>
    <w:p>
      <w:pPr>
        <w:spacing w:line="360" w:lineRule="auto"/>
        <w:ind w:firstLine="422" w:firstLineChars="200"/>
        <w:jc w:val="left"/>
        <w:textAlignment w:val="baseline"/>
        <w:rPr>
          <w:rFonts w:ascii="Times New Roman" w:hAnsi="Times New Roman" w:cs="Times New Roman"/>
          <w:szCs w:val="21"/>
        </w:rPr>
      </w:pPr>
      <w:r>
        <w:rPr>
          <w:rFonts w:ascii="Times New Roman" w:hAnsi="Times New Roman" w:cs="Times New Roman"/>
          <w:b/>
          <w:bCs/>
          <w:szCs w:val="21"/>
        </w:rPr>
        <w:t>陆伟跃</w:t>
      </w:r>
      <w:r>
        <w:rPr>
          <w:rFonts w:ascii="Times New Roman" w:hAnsi="Times New Roman" w:cs="Times New Roman"/>
          <w:szCs w:val="21"/>
        </w:rPr>
        <w:t>，药剂学博士，复旦大学二级教授、特聘教授，973项目首席科学家，享受国务院政府特殊津贴。兼任中国药学会常务理事、战略发展委员会委员、学术工作委员会委员、药剂专委会主任委员，中国抗癌协会纳米肿瘤学专委会常务委员，国家药品注册审评专家咨询委员会委员，全国药学专业学位研究生教育指导委员会委员等。</w:t>
      </w:r>
    </w:p>
    <w:p>
      <w:pPr>
        <w:spacing w:line="360" w:lineRule="auto"/>
        <w:ind w:firstLine="420" w:firstLineChars="200"/>
        <w:jc w:val="left"/>
        <w:textAlignment w:val="baseline"/>
        <w:rPr>
          <w:rFonts w:ascii="Times New Roman" w:hAnsi="Times New Roman" w:cs="Times New Roman"/>
          <w:szCs w:val="21"/>
        </w:rPr>
      </w:pPr>
      <w:r>
        <w:rPr>
          <w:rFonts w:ascii="Times New Roman" w:hAnsi="Times New Roman" w:cs="Times New Roman"/>
          <w:szCs w:val="21"/>
        </w:rPr>
        <w:t>主要从事药物靶向策略及新型递药系统研究。主持国家和省部级科研基金项目26项，授权国内外发明专利30余项，获得新药证书2项，2000年以来发表SCI论文180余篇，曾获明治乳业生命科学奖、徐光启科技奖章金奖、中国药学科学技术二等奖、上海市自然科学奖和教育部自然科学奖二等奖等奖励。指导博士生获全国百篇优秀博士学位论文2篇，曾获上海市育才奖、宝钢优秀教师奖、全国优秀博士学位论文指导教师等荣誉。</w:t>
      </w:r>
    </w:p>
    <w:p>
      <w:pPr>
        <w:spacing w:line="360" w:lineRule="auto"/>
        <w:ind w:firstLine="422" w:firstLineChars="200"/>
        <w:jc w:val="left"/>
        <w:textAlignment w:val="baseline"/>
        <w:rPr>
          <w:rFonts w:ascii="Times New Roman" w:hAnsi="Times New Roman" w:cs="Times New Roman"/>
          <w:szCs w:val="21"/>
        </w:rPr>
      </w:pPr>
      <w:r>
        <w:rPr>
          <w:rFonts w:ascii="Times New Roman" w:hAnsi="Times New Roman" w:cs="Times New Roman"/>
          <w:b/>
          <w:bCs/>
          <w:szCs w:val="21"/>
        </w:rPr>
        <w:t>杨波</w:t>
      </w:r>
      <w:r>
        <w:rPr>
          <w:rFonts w:ascii="Times New Roman" w:hAnsi="Times New Roman" w:cs="Times New Roman"/>
          <w:szCs w:val="21"/>
        </w:rPr>
        <w:t>，浙江大学求是特聘教授，博士生导师，浙江大学科研院院长。国家杰出青年基金获得者，享受国务院政府特殊津贴，为教育部高等学校药学类专业教学指导委员会副主任委员、国家百千万人才工程“有突出贡献中青年专家”，国家万人计划科技创新领军人才、科技部重点领域创新团队等。长期致力于抗肿瘤新靶标发现和确证、药物作用机制研究及创新药物研发工作，相关成果于Blood、Cell Res、Cancer Res、Autophagy等期刊发表SCI论文200余篇，他引5000余次。获得PCT专利2项、国际授权发明专利4项、中国授权发明专利47项，1类新药临床试验批件3项。先后主持国家自然科学杰出青年基金、国家自然科学基金重点项目、国家重大新药创制专项千万级平台项目等国家级项目15项，获省部级自然科学二等奖4项。</w:t>
      </w:r>
    </w:p>
    <w:p>
      <w:pPr>
        <w:spacing w:line="360" w:lineRule="auto"/>
        <w:ind w:firstLine="422" w:firstLineChars="200"/>
        <w:jc w:val="left"/>
        <w:textAlignment w:val="baseline"/>
        <w:rPr>
          <w:rFonts w:ascii="Times New Roman" w:hAnsi="Times New Roman" w:cs="Times New Roman"/>
          <w:szCs w:val="21"/>
        </w:rPr>
      </w:pPr>
      <w:r>
        <w:rPr>
          <w:rFonts w:ascii="Times New Roman" w:hAnsi="Times New Roman" w:cs="Times New Roman"/>
          <w:b/>
          <w:bCs/>
          <w:szCs w:val="21"/>
        </w:rPr>
        <w:t>韦锦斌</w:t>
      </w:r>
      <w:r>
        <w:rPr>
          <w:rFonts w:ascii="Times New Roman" w:hAnsi="Times New Roman" w:cs="Times New Roman"/>
          <w:szCs w:val="21"/>
        </w:rPr>
        <w:t>，药学教授，博士研究生导师，博士后合作导师，医学博士学位。现任广西医科大学药学院院长，现兼任教育部高等学校药学类专业教学指导委员会委员、全国药学专业学位研究生教育指导委员会专家、中国药理学会理事、广西药理学会理事长等。还兼任广西医科大学药学博士一级学科负责人、药学博士后科研流动站站长、《药学专业》（国家首批一流本科专业建设点）负责人、《药学创新创业社会实践》（国家首批一流本科课程）负责人。</w:t>
      </w:r>
    </w:p>
    <w:p>
      <w:pPr>
        <w:spacing w:line="360" w:lineRule="auto"/>
        <w:ind w:firstLine="420" w:firstLineChars="200"/>
        <w:jc w:val="left"/>
        <w:textAlignment w:val="baseline"/>
        <w:rPr>
          <w:rFonts w:ascii="Times New Roman" w:hAnsi="Times New Roman" w:cs="Times New Roman"/>
          <w:szCs w:val="21"/>
        </w:rPr>
      </w:pPr>
      <w:r>
        <w:rPr>
          <w:rFonts w:ascii="Times New Roman" w:hAnsi="Times New Roman" w:cs="Times New Roman"/>
          <w:szCs w:val="21"/>
        </w:rPr>
        <w:t>有药学和临床医学双重学科专业背景。长期从事药理学的教学与科研。出版《药理学实验》（主编）《大学生创新创业教育》（主编）《临床实用药物手册》（编委）等教材专著。研究领域：药理学、药物安全性评价、新药研究与开发等。主持国家自然科学基金项目2项和省厅级科研项目9项。发表科研论文40余篇。培养博士、硕士研究生17名。</w:t>
      </w:r>
    </w:p>
    <w:p>
      <w:pPr>
        <w:spacing w:line="360" w:lineRule="auto"/>
        <w:ind w:firstLine="422" w:firstLineChars="200"/>
        <w:jc w:val="left"/>
        <w:textAlignment w:val="baseline"/>
        <w:rPr>
          <w:rFonts w:ascii="Times New Roman" w:hAnsi="Times New Roman" w:cs="Times New Roman"/>
          <w:szCs w:val="21"/>
        </w:rPr>
      </w:pPr>
      <w:r>
        <w:rPr>
          <w:rFonts w:ascii="Times New Roman" w:hAnsi="Times New Roman" w:cs="Times New Roman"/>
          <w:b/>
          <w:bCs/>
          <w:szCs w:val="21"/>
        </w:rPr>
        <w:t>张俊清</w:t>
      </w:r>
      <w:r>
        <w:rPr>
          <w:rFonts w:ascii="Times New Roman" w:hAnsi="Times New Roman" w:cs="Times New Roman"/>
          <w:szCs w:val="21"/>
        </w:rPr>
        <w:t>，南京中医药大学中药专业博士，二级教授。海南医学院药学院院长，兼任海南省热带药用植物研究开发重点实验室主任、药学省级重点学科带头人。国务院特殊津贴专家、海南省具有突出贡献的优秀专家、第六届海南省优秀科技工作者。兼任教育部药学类教育指导委员会委员、中国自然资源学会第五届天然药物资源专业委员会委员及国家核心期刊《药物分析》杂志编委。</w:t>
      </w:r>
    </w:p>
    <w:p>
      <w:pPr>
        <w:spacing w:line="360" w:lineRule="auto"/>
        <w:ind w:firstLine="420" w:firstLineChars="200"/>
        <w:jc w:val="left"/>
        <w:textAlignment w:val="baseline"/>
        <w:rPr>
          <w:rFonts w:ascii="Times New Roman" w:hAnsi="Times New Roman" w:cs="Times New Roman"/>
          <w:szCs w:val="21"/>
        </w:rPr>
      </w:pPr>
      <w:r>
        <w:rPr>
          <w:rFonts w:ascii="Times New Roman" w:hAnsi="Times New Roman" w:cs="Times New Roman"/>
          <w:szCs w:val="21"/>
        </w:rPr>
        <w:t>排名第一获海南省教学成果一等奖1项，主持教育部药学教育研究会、海南省教研课题共3项，发表教研论文11篇，主编出版《药学综合性及设计性实验教程》等教材2部。2010至2016年任中药学专业负责人，2009至2019年承担了中药化学、中药制剂分析等课程的讲授。</w:t>
      </w:r>
    </w:p>
    <w:p>
      <w:pPr>
        <w:spacing w:line="360" w:lineRule="auto"/>
        <w:ind w:firstLine="420" w:firstLineChars="200"/>
        <w:jc w:val="left"/>
        <w:textAlignment w:val="baseline"/>
        <w:rPr>
          <w:rFonts w:ascii="Times New Roman" w:hAnsi="Times New Roman" w:cs="Times New Roman"/>
          <w:szCs w:val="21"/>
        </w:rPr>
      </w:pPr>
      <w:r>
        <w:rPr>
          <w:rFonts w:ascii="Times New Roman" w:hAnsi="Times New Roman" w:cs="Times New Roman"/>
          <w:szCs w:val="21"/>
        </w:rPr>
        <w:t>近年来，作为子课题负责人主持国家科技支撑计划2项、主持国家自然科学基金3项、海南省重大专项1项、省市重点科研课题2项及省级科研课题5项，参与国家级课题4项，分别以排名第一获海南省科技进步一等奖1项、以排名第一及第二获得海南省科技进步二等奖2项、三等奖2项及海口市科技进步二等奖2项（排名第一）及三等奖1项（排名第二），参与申报国家药物发明专利20余项（授权5项），发表sci收录论文30余篇，出版《中国药用姜科植物》等专著5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38339B"/>
    <w:rsid w:val="5D5122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444444"/>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2021-10-04T00:50:00Z</dcterms:created>
  <dc:creator>Administrator</dc:creator>
  <cp:lastModifiedBy>莲</cp:lastModifiedBy>
  <cp:lastPrinted>2021-10-04T01:14:57Z</cp:lastPrinted>
  <dcterms:modified xsi:type="dcterms:W3CDTF">2021-10-04T01:15:17Z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1C97EF5054C34E95A27C18A2C909CEAF</vt:lpwstr>
  </property>
</Properties>
</file>