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C6E9C7">
      <w:pPr>
        <w:rPr>
          <w:rFonts w:hint="eastAsia" w:ascii="Times New Roman" w:hAnsi="Times New Roman" w:cs="Times New Roman"/>
          <w:lang w:val="en-US" w:eastAsia="zh-CN"/>
        </w:rPr>
      </w:pPr>
      <w:bookmarkStart w:id="0" w:name="_GoBack"/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附件2：</w:t>
      </w:r>
    </w:p>
    <w:p w14:paraId="1BD70B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地方药物标本馆科普作品评分标准</w:t>
      </w:r>
    </w:p>
    <w:bookmarkEnd w:id="0"/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1"/>
        <w:gridCol w:w="4351"/>
        <w:gridCol w:w="1215"/>
        <w:gridCol w:w="1132"/>
      </w:tblGrid>
      <w:tr w14:paraId="57EF0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69" w:type="pct"/>
            <w:noWrap w:val="0"/>
            <w:vAlign w:val="center"/>
          </w:tcPr>
          <w:p w14:paraId="56E5E9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一级指标</w:t>
            </w:r>
          </w:p>
        </w:tc>
        <w:tc>
          <w:tcPr>
            <w:tcW w:w="2553" w:type="pct"/>
            <w:noWrap w:val="0"/>
            <w:vAlign w:val="center"/>
          </w:tcPr>
          <w:p w14:paraId="3D0E9C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713" w:type="pct"/>
            <w:noWrap w:val="0"/>
            <w:vAlign w:val="center"/>
          </w:tcPr>
          <w:p w14:paraId="14314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评分标准</w:t>
            </w:r>
          </w:p>
        </w:tc>
        <w:tc>
          <w:tcPr>
            <w:tcW w:w="664" w:type="pct"/>
            <w:noWrap w:val="0"/>
            <w:vAlign w:val="center"/>
          </w:tcPr>
          <w:p w14:paraId="345291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评分</w:t>
            </w:r>
          </w:p>
        </w:tc>
      </w:tr>
      <w:tr w14:paraId="60234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069" w:type="pct"/>
            <w:vMerge w:val="restart"/>
            <w:noWrap w:val="0"/>
            <w:vAlign w:val="center"/>
          </w:tcPr>
          <w:p w14:paraId="6515B7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科学性（30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分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2553" w:type="pct"/>
            <w:noWrap w:val="0"/>
            <w:vAlign w:val="center"/>
          </w:tcPr>
          <w:p w14:paraId="082208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</w:rPr>
              <w:t>核心概念、原理、数据无错误，符合科学共识；引用权威来源。</w:t>
            </w:r>
          </w:p>
        </w:tc>
        <w:tc>
          <w:tcPr>
            <w:tcW w:w="713" w:type="pct"/>
            <w:noWrap w:val="0"/>
            <w:vAlign w:val="center"/>
          </w:tcPr>
          <w:p w14:paraId="6D4A08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0~10</w:t>
            </w:r>
          </w:p>
        </w:tc>
        <w:tc>
          <w:tcPr>
            <w:tcW w:w="664" w:type="pct"/>
            <w:noWrap w:val="0"/>
            <w:vAlign w:val="center"/>
          </w:tcPr>
          <w:p w14:paraId="1AEC4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4749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069" w:type="pct"/>
            <w:vMerge w:val="continue"/>
            <w:noWrap w:val="0"/>
            <w:vAlign w:val="top"/>
          </w:tcPr>
          <w:p w14:paraId="0D35CF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53" w:type="pct"/>
            <w:noWrap w:val="0"/>
            <w:vAlign w:val="center"/>
          </w:tcPr>
          <w:p w14:paraId="128FD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数据来源明确、时效性强；实验或案例可验证；无夸大或误导性表述。</w:t>
            </w:r>
          </w:p>
        </w:tc>
        <w:tc>
          <w:tcPr>
            <w:tcW w:w="713" w:type="pct"/>
            <w:noWrap w:val="0"/>
            <w:vAlign w:val="center"/>
          </w:tcPr>
          <w:p w14:paraId="1CCF1A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0~10</w:t>
            </w:r>
          </w:p>
        </w:tc>
        <w:tc>
          <w:tcPr>
            <w:tcW w:w="664" w:type="pct"/>
            <w:noWrap w:val="0"/>
            <w:vAlign w:val="center"/>
          </w:tcPr>
          <w:p w14:paraId="3B999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7C48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069" w:type="pct"/>
            <w:vMerge w:val="continue"/>
            <w:noWrap w:val="0"/>
            <w:vAlign w:val="top"/>
          </w:tcPr>
          <w:p w14:paraId="5A270F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53" w:type="pct"/>
            <w:noWrap w:val="0"/>
            <w:vAlign w:val="center"/>
          </w:tcPr>
          <w:p w14:paraId="66B1F0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论证过程清晰，因果关系合理；无逻辑漏洞或跳跃性结论。</w:t>
            </w:r>
          </w:p>
        </w:tc>
        <w:tc>
          <w:tcPr>
            <w:tcW w:w="713" w:type="pct"/>
            <w:noWrap w:val="0"/>
            <w:vAlign w:val="center"/>
          </w:tcPr>
          <w:p w14:paraId="2C90B8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0~10</w:t>
            </w:r>
          </w:p>
        </w:tc>
        <w:tc>
          <w:tcPr>
            <w:tcW w:w="664" w:type="pct"/>
            <w:noWrap w:val="0"/>
            <w:vAlign w:val="center"/>
          </w:tcPr>
          <w:p w14:paraId="0905AF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EAD3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069" w:type="pct"/>
            <w:vMerge w:val="restart"/>
            <w:noWrap w:val="0"/>
            <w:vAlign w:val="center"/>
          </w:tcPr>
          <w:p w14:paraId="6C441F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创意性（2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5分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2553" w:type="pct"/>
            <w:noWrap w:val="0"/>
            <w:vAlign w:val="center"/>
          </w:tcPr>
          <w:p w14:paraId="21DA91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切入角度罕见或针对前沿科学问题；避免陈词滥调。</w:t>
            </w:r>
          </w:p>
        </w:tc>
        <w:tc>
          <w:tcPr>
            <w:tcW w:w="713" w:type="pct"/>
            <w:noWrap w:val="0"/>
            <w:vAlign w:val="center"/>
          </w:tcPr>
          <w:p w14:paraId="12DA21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0~8</w:t>
            </w:r>
          </w:p>
        </w:tc>
        <w:tc>
          <w:tcPr>
            <w:tcW w:w="664" w:type="pct"/>
            <w:noWrap w:val="0"/>
            <w:vAlign w:val="center"/>
          </w:tcPr>
          <w:p w14:paraId="53C61C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4D03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069" w:type="pct"/>
            <w:vMerge w:val="continue"/>
            <w:noWrap w:val="0"/>
            <w:vAlign w:val="top"/>
          </w:tcPr>
          <w:p w14:paraId="6F7E0F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53" w:type="pct"/>
            <w:noWrap w:val="0"/>
            <w:vAlign w:val="center"/>
          </w:tcPr>
          <w:p w14:paraId="57D2C7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运用互动、动画、隐喻等创新形式；突破传统说教模式。</w:t>
            </w:r>
          </w:p>
        </w:tc>
        <w:tc>
          <w:tcPr>
            <w:tcW w:w="713" w:type="pct"/>
            <w:noWrap w:val="0"/>
            <w:vAlign w:val="center"/>
          </w:tcPr>
          <w:p w14:paraId="630D1A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0~9</w:t>
            </w:r>
          </w:p>
        </w:tc>
        <w:tc>
          <w:tcPr>
            <w:tcW w:w="664" w:type="pct"/>
            <w:noWrap w:val="0"/>
            <w:vAlign w:val="center"/>
          </w:tcPr>
          <w:p w14:paraId="75E182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97B3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069" w:type="pct"/>
            <w:vMerge w:val="continue"/>
            <w:noWrap w:val="0"/>
            <w:vAlign w:val="top"/>
          </w:tcPr>
          <w:p w14:paraId="66BE05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53" w:type="pct"/>
            <w:noWrap w:val="0"/>
            <w:vAlign w:val="center"/>
          </w:tcPr>
          <w:p w14:paraId="3B146E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跨学科融合、反常识解读或提出新观点（需科学依据）。</w:t>
            </w:r>
          </w:p>
        </w:tc>
        <w:tc>
          <w:tcPr>
            <w:tcW w:w="713" w:type="pct"/>
            <w:noWrap w:val="0"/>
            <w:vAlign w:val="center"/>
          </w:tcPr>
          <w:p w14:paraId="040CD0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0~8</w:t>
            </w:r>
          </w:p>
        </w:tc>
        <w:tc>
          <w:tcPr>
            <w:tcW w:w="664" w:type="pct"/>
            <w:noWrap w:val="0"/>
            <w:vAlign w:val="center"/>
          </w:tcPr>
          <w:p w14:paraId="25B9C2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B08A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069" w:type="pct"/>
            <w:vMerge w:val="restart"/>
            <w:noWrap w:val="0"/>
            <w:vAlign w:val="center"/>
          </w:tcPr>
          <w:p w14:paraId="4FD3BF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艺术性（20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分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2553" w:type="pct"/>
            <w:noWrap w:val="0"/>
            <w:vAlign w:val="center"/>
          </w:tcPr>
          <w:p w14:paraId="5B752C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画面/图表美观、配色协调；信息可视化效果突出（如动态演示）。</w:t>
            </w:r>
          </w:p>
        </w:tc>
        <w:tc>
          <w:tcPr>
            <w:tcW w:w="713" w:type="pct"/>
            <w:noWrap w:val="0"/>
            <w:vAlign w:val="center"/>
          </w:tcPr>
          <w:p w14:paraId="60E6B7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0~7</w:t>
            </w:r>
          </w:p>
        </w:tc>
        <w:tc>
          <w:tcPr>
            <w:tcW w:w="664" w:type="pct"/>
            <w:noWrap w:val="0"/>
            <w:vAlign w:val="center"/>
          </w:tcPr>
          <w:p w14:paraId="25D67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0A50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069" w:type="pct"/>
            <w:vMerge w:val="continue"/>
            <w:noWrap w:val="0"/>
            <w:vAlign w:val="top"/>
          </w:tcPr>
          <w:p w14:paraId="7B819B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53" w:type="pct"/>
            <w:noWrap w:val="0"/>
            <w:vAlign w:val="center"/>
          </w:tcPr>
          <w:p w14:paraId="064238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背景音乐/音效贴合主题；配音清晰；节奏张弛有度（避免冗长或仓促）。</w:t>
            </w:r>
          </w:p>
        </w:tc>
        <w:tc>
          <w:tcPr>
            <w:tcW w:w="713" w:type="pct"/>
            <w:noWrap w:val="0"/>
            <w:vAlign w:val="center"/>
          </w:tcPr>
          <w:p w14:paraId="0FBFC2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0~7</w:t>
            </w:r>
          </w:p>
        </w:tc>
        <w:tc>
          <w:tcPr>
            <w:tcW w:w="664" w:type="pct"/>
            <w:noWrap w:val="0"/>
            <w:vAlign w:val="center"/>
          </w:tcPr>
          <w:p w14:paraId="719130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4596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069" w:type="pct"/>
            <w:vMerge w:val="continue"/>
            <w:noWrap w:val="0"/>
            <w:vAlign w:val="top"/>
          </w:tcPr>
          <w:p w14:paraId="30F041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53" w:type="pct"/>
            <w:noWrap w:val="0"/>
            <w:vAlign w:val="center"/>
          </w:tcPr>
          <w:p w14:paraId="41BEDE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转场自然；多媒介元素（文字、图像、视频）衔接流畅。</w:t>
            </w:r>
          </w:p>
        </w:tc>
        <w:tc>
          <w:tcPr>
            <w:tcW w:w="713" w:type="pct"/>
            <w:noWrap w:val="0"/>
            <w:vAlign w:val="center"/>
          </w:tcPr>
          <w:p w14:paraId="6640C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0~6</w:t>
            </w:r>
          </w:p>
        </w:tc>
        <w:tc>
          <w:tcPr>
            <w:tcW w:w="664" w:type="pct"/>
            <w:noWrap w:val="0"/>
            <w:vAlign w:val="center"/>
          </w:tcPr>
          <w:p w14:paraId="345FA3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8951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069" w:type="pct"/>
            <w:vMerge w:val="restart"/>
            <w:noWrap w:val="0"/>
            <w:vAlign w:val="center"/>
          </w:tcPr>
          <w:p w14:paraId="62F925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传播性（25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分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2553" w:type="pct"/>
            <w:noWrap w:val="0"/>
            <w:vAlign w:val="center"/>
          </w:tcPr>
          <w:p w14:paraId="44ABE5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专业术语解释到位；类比或案例贴近生活；适合目标受众认知水平。</w:t>
            </w:r>
          </w:p>
        </w:tc>
        <w:tc>
          <w:tcPr>
            <w:tcW w:w="713" w:type="pct"/>
            <w:noWrap w:val="0"/>
            <w:vAlign w:val="center"/>
          </w:tcPr>
          <w:p w14:paraId="358B2E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0~9</w:t>
            </w:r>
          </w:p>
        </w:tc>
        <w:tc>
          <w:tcPr>
            <w:tcW w:w="664" w:type="pct"/>
            <w:noWrap w:val="0"/>
            <w:vAlign w:val="center"/>
          </w:tcPr>
          <w:p w14:paraId="3C18E2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6102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069" w:type="pct"/>
            <w:vMerge w:val="continue"/>
            <w:noWrap w:val="0"/>
            <w:vAlign w:val="top"/>
          </w:tcPr>
          <w:p w14:paraId="76A795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553" w:type="pct"/>
            <w:noWrap w:val="0"/>
            <w:vAlign w:val="center"/>
          </w:tcPr>
          <w:p w14:paraId="429006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内容普适性强（如兼顾不同年龄、文化背景）；传播渠道多样（如短视频、图文）。</w:t>
            </w:r>
          </w:p>
        </w:tc>
        <w:tc>
          <w:tcPr>
            <w:tcW w:w="713" w:type="pct"/>
            <w:noWrap w:val="0"/>
            <w:vAlign w:val="center"/>
          </w:tcPr>
          <w:p w14:paraId="574D68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0~8</w:t>
            </w:r>
          </w:p>
        </w:tc>
        <w:tc>
          <w:tcPr>
            <w:tcW w:w="664" w:type="pct"/>
            <w:noWrap w:val="0"/>
            <w:vAlign w:val="center"/>
          </w:tcPr>
          <w:p w14:paraId="45F557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2A1F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069" w:type="pct"/>
            <w:vMerge w:val="continue"/>
            <w:noWrap w:val="0"/>
            <w:vAlign w:val="top"/>
          </w:tcPr>
          <w:p w14:paraId="30F4AC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553" w:type="pct"/>
            <w:noWrap w:val="0"/>
            <w:vAlign w:val="center"/>
          </w:tcPr>
          <w:p w14:paraId="76D7A0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提升公众科学素养；解决常见误区；引发思考或行动（如环保、健康）。</w:t>
            </w:r>
          </w:p>
        </w:tc>
        <w:tc>
          <w:tcPr>
            <w:tcW w:w="713" w:type="pct"/>
            <w:noWrap w:val="0"/>
            <w:vAlign w:val="center"/>
          </w:tcPr>
          <w:p w14:paraId="37F29C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0~8</w:t>
            </w:r>
          </w:p>
        </w:tc>
        <w:tc>
          <w:tcPr>
            <w:tcW w:w="664" w:type="pct"/>
            <w:noWrap w:val="0"/>
            <w:vAlign w:val="center"/>
          </w:tcPr>
          <w:p w14:paraId="66BA39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580D13B4">
      <w:pPr>
        <w:rPr>
          <w:rFonts w:hint="default" w:ascii="Times New Roman" w:hAnsi="Times New Roman" w:cs="Times New Roman"/>
          <w:lang w:val="en-US" w:eastAsia="zh-CN"/>
        </w:rPr>
      </w:pPr>
    </w:p>
    <w:p w14:paraId="5A037461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AC039C"/>
    <w:rsid w:val="2BAC039C"/>
    <w:rsid w:val="51214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2025-08-16T06:14:00Z</dcterms:created>
  <dc:creator>Asheps</dc:creator>
  <cp:lastModifiedBy>Asheps</cp:lastModifiedBy>
  <dcterms:modified xsi:type="dcterms:W3CDTF">2025-08-16T06:15:48Z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8C605B686F1E441EAB02021F657C117D_13</vt:lpwstr>
  </property>
  <property fmtid="{D5CDD505-2E9C-101B-9397-08002B2CF9AE}" pid="4" name="KSOTemplateDocerSaveRecord">
    <vt:lpwstr>eyJoZGlkIjoiMzFmNDVlOTNmMWNjZjYwNDRjNDQ3N2U5OTcyYWEyM2YiLCJ1c2VySWQiOiI0MjYxMjQ5MDMifQ==</vt:lpwstr>
  </property>
</Properties>
</file>