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rFonts w:hint="eastAsia" w:ascii="Times New Roman" w:hAnsi="Times New Roman" w:eastAsia="宋体" w:cs="Times New Roman"/>
          <w:b/>
          <w:sz w:val="28"/>
          <w:szCs w:val="28"/>
          <w:lang w:eastAsia="zh-CN"/>
        </w:rPr>
      </w:pPr>
      <w:r>
        <w:rPr>
          <w:rFonts w:hint="eastAsia" w:ascii="Times New Roman" w:hAnsi="Times New Roman" w:eastAsia="宋体" w:cs="Times New Roman"/>
          <w:b/>
          <w:sz w:val="28"/>
          <w:szCs w:val="28"/>
          <w:lang w:eastAsia="zh-CN"/>
        </w:rPr>
        <w:t>附件：</w:t>
      </w:r>
    </w:p>
    <w:p>
      <w:pPr>
        <w:spacing w:line="360" w:lineRule="auto"/>
        <w:jc w:val="center"/>
        <w:rPr>
          <w:rFonts w:ascii="Times New Roman" w:hAnsi="Times New Roman" w:eastAsia="宋体" w:cs="Times New Roman"/>
          <w:b/>
          <w:sz w:val="28"/>
          <w:szCs w:val="28"/>
        </w:rPr>
      </w:pPr>
      <w:r>
        <w:rPr>
          <w:rFonts w:hint="eastAsia" w:ascii="Times New Roman" w:hAnsi="Times New Roman" w:eastAsia="宋体" w:cs="Times New Roman"/>
          <w:b/>
          <w:sz w:val="28"/>
          <w:szCs w:val="28"/>
        </w:rPr>
        <w:t xml:space="preserve">专 家 </w:t>
      </w:r>
      <w:r>
        <w:rPr>
          <w:rFonts w:ascii="Times New Roman" w:hAnsi="Times New Roman" w:eastAsia="宋体" w:cs="Times New Roman"/>
          <w:b/>
          <w:sz w:val="28"/>
          <w:szCs w:val="28"/>
        </w:rPr>
        <w:t>简</w:t>
      </w:r>
      <w:r>
        <w:rPr>
          <w:rFonts w:hint="eastAsia" w:ascii="Times New Roman" w:hAnsi="Times New Roman" w:eastAsia="宋体" w:cs="Times New Roman"/>
          <w:b/>
          <w:sz w:val="28"/>
          <w:szCs w:val="28"/>
          <w:lang w:val="en-US" w:eastAsia="zh-CN"/>
        </w:rPr>
        <w:t xml:space="preserve"> </w:t>
      </w:r>
      <w:r>
        <w:rPr>
          <w:rFonts w:ascii="Times New Roman" w:hAnsi="Times New Roman" w:eastAsia="宋体" w:cs="Times New Roman"/>
          <w:b/>
          <w:sz w:val="28"/>
          <w:szCs w:val="28"/>
        </w:rPr>
        <w:t>介</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both"/>
        <w:textAlignment w:val="baseline"/>
        <w:rPr>
          <w:rFonts w:hint="default" w:ascii="Times New Roman" w:hAnsi="Times New Roman" w:cs="Times New Roman"/>
          <w:b w:val="0"/>
          <w:bCs w:val="0"/>
          <w:szCs w:val="21"/>
        </w:rPr>
      </w:pPr>
      <w:r>
        <w:rPr>
          <w:rFonts w:hint="eastAsia" w:ascii="Times New Roman" w:hAnsi="Times New Roman" w:cs="Times New Roman"/>
          <w:b/>
          <w:bCs/>
          <w:szCs w:val="21"/>
        </w:rPr>
        <w:t>沈祥春</w:t>
      </w:r>
      <w:r>
        <w:rPr>
          <w:rFonts w:hint="default" w:ascii="Times New Roman" w:hAnsi="Times New Roman" w:cs="Times New Roman"/>
          <w:b w:val="0"/>
          <w:bCs w:val="0"/>
          <w:szCs w:val="21"/>
        </w:rPr>
        <w:t>，二级教授，药学博士（中国药科大学），中药学博士后（南京中医药大学，国家一流学科），贵州医科大学博/硕士研究生导师、博士后合作导师，贵州医科大学药学院院长、省部共建药用植物功效与利用国家重点实验室副主任，教育部国家一流专业药学专业负责人（国家双万工程，2019年）、贵州省区域一流学科学科带头人，贵州省药学国际科技合作基地主任（2017年）、贵州省药学人才（天然药物成药性）基地主任（2018年）、贵州省特色天然药物高效利用工程中心主任（2018年），教育部高等学校药学类教学指导委员会委员（2018年-2022年）。</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baseline"/>
        <w:rPr>
          <w:rFonts w:hint="default" w:ascii="Times New Roman" w:hAnsi="Times New Roman" w:cs="Times New Roman"/>
          <w:b w:val="0"/>
          <w:bCs w:val="0"/>
          <w:szCs w:val="21"/>
        </w:rPr>
      </w:pPr>
      <w:r>
        <w:rPr>
          <w:rFonts w:hint="default" w:ascii="Times New Roman" w:hAnsi="Times New Roman" w:cs="Times New Roman"/>
          <w:b w:val="0"/>
          <w:bCs w:val="0"/>
          <w:szCs w:val="21"/>
        </w:rPr>
        <w:t>沈祥春同志2004年于中国药科大学获得药学博士学位到贵州医科大学工作，2010年于南京中医药大学中药学博士后流动站完成科研工作，并顺利出站，2012年2月作为德克萨斯A&amp;M大学客座副研究员赴该大学健康科学中心从事为期1年的研修工作。先后获得贵州省核心专家、国务院政府特殊津贴、教育部新世纪人才、贵州省优秀科技工作者、贵州省优秀博士研究生导师、贵州省首届</w:t>
      </w:r>
      <w:r>
        <w:rPr>
          <w:rFonts w:hint="eastAsia" w:ascii="Times New Roman" w:hAnsi="Times New Roman" w:cs="Times New Roman"/>
          <w:b w:val="0"/>
          <w:bCs w:val="0"/>
          <w:szCs w:val="21"/>
          <w:lang w:eastAsia="zh-CN"/>
        </w:rPr>
        <w:t>“</w:t>
      </w:r>
      <w:r>
        <w:rPr>
          <w:rFonts w:hint="default" w:ascii="Times New Roman" w:hAnsi="Times New Roman" w:cs="Times New Roman"/>
          <w:b w:val="0"/>
          <w:bCs w:val="0"/>
          <w:szCs w:val="21"/>
        </w:rPr>
        <w:t>创新争先 科技榜样</w:t>
      </w:r>
      <w:r>
        <w:rPr>
          <w:rFonts w:hint="eastAsia" w:ascii="Times New Roman" w:hAnsi="Times New Roman" w:cs="Times New Roman"/>
          <w:b w:val="0"/>
          <w:bCs w:val="0"/>
          <w:szCs w:val="21"/>
          <w:lang w:eastAsia="zh-CN"/>
        </w:rPr>
        <w:t>”</w:t>
      </w:r>
      <w:r>
        <w:rPr>
          <w:rFonts w:hint="default" w:ascii="Times New Roman" w:hAnsi="Times New Roman" w:cs="Times New Roman"/>
          <w:b w:val="0"/>
          <w:bCs w:val="0"/>
          <w:szCs w:val="21"/>
        </w:rPr>
        <w:t>等荣誉称号。</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baseline"/>
        <w:rPr>
          <w:rFonts w:hint="default" w:ascii="Times New Roman" w:hAnsi="Times New Roman" w:cs="Times New Roman"/>
          <w:b w:val="0"/>
          <w:bCs w:val="0"/>
          <w:szCs w:val="21"/>
        </w:rPr>
      </w:pPr>
      <w:r>
        <w:rPr>
          <w:rFonts w:hint="default" w:ascii="Times New Roman" w:hAnsi="Times New Roman" w:cs="Times New Roman"/>
          <w:b w:val="0"/>
          <w:bCs w:val="0"/>
          <w:szCs w:val="21"/>
        </w:rPr>
        <w:t>先后主持国家自然科学基金8项（面上1项、青年1项、地区5项，国家自然科学基金——喀斯特项目子课题1项，完成5项）、省部级项目30余项。在国际、国内重要学术期刊和国际会议论文集上发表论文200多篇，其中第一作者或通讯作者Clinical and Translational Medicine</w:t>
      </w:r>
      <w:r>
        <w:rPr>
          <w:rFonts w:hint="eastAsia" w:ascii="Times New Roman" w:hAnsi="Times New Roman" w:cs="Times New Roman"/>
          <w:b w:val="0"/>
          <w:bCs w:val="0"/>
          <w:szCs w:val="21"/>
          <w:lang w:eastAsia="zh-CN"/>
        </w:rPr>
        <w:t>，</w:t>
      </w:r>
      <w:r>
        <w:rPr>
          <w:rFonts w:hint="default" w:ascii="Times New Roman" w:hAnsi="Times New Roman" w:cs="Times New Roman"/>
          <w:b w:val="0"/>
          <w:bCs w:val="0"/>
          <w:szCs w:val="21"/>
        </w:rPr>
        <w:t>Pharmacological Research, Biochemical Pharmacology</w:t>
      </w:r>
      <w:r>
        <w:rPr>
          <w:rFonts w:hint="eastAsia" w:ascii="Times New Roman" w:hAnsi="Times New Roman" w:cs="Times New Roman"/>
          <w:b w:val="0"/>
          <w:bCs w:val="0"/>
          <w:szCs w:val="21"/>
          <w:lang w:eastAsia="zh-CN"/>
        </w:rPr>
        <w:t>，</w:t>
      </w:r>
      <w:r>
        <w:rPr>
          <w:rFonts w:hint="default" w:ascii="Times New Roman" w:hAnsi="Times New Roman" w:cs="Times New Roman"/>
          <w:b w:val="0"/>
          <w:bCs w:val="0"/>
          <w:szCs w:val="21"/>
        </w:rPr>
        <w:t>Cell Death Diseases</w:t>
      </w:r>
      <w:r>
        <w:rPr>
          <w:rFonts w:hint="eastAsia" w:ascii="Times New Roman" w:hAnsi="Times New Roman" w:cs="Times New Roman"/>
          <w:b w:val="0"/>
          <w:bCs w:val="0"/>
          <w:szCs w:val="21"/>
          <w:lang w:eastAsia="zh-CN"/>
        </w:rPr>
        <w:t>，</w:t>
      </w:r>
      <w:r>
        <w:rPr>
          <w:rFonts w:hint="default" w:ascii="Times New Roman" w:hAnsi="Times New Roman" w:cs="Times New Roman"/>
          <w:b w:val="0"/>
          <w:bCs w:val="0"/>
          <w:szCs w:val="21"/>
        </w:rPr>
        <w:t xml:space="preserve"> Phytomedicine 等发表SCI论文70余篇。</w:t>
      </w:r>
      <w:bookmarkStart w:id="0" w:name="_GoBack"/>
      <w:bookmarkEnd w:id="0"/>
      <w:r>
        <w:rPr>
          <w:rFonts w:hint="default" w:ascii="Times New Roman" w:hAnsi="Times New Roman" w:cs="Times New Roman"/>
          <w:b w:val="0"/>
          <w:bCs w:val="0"/>
          <w:szCs w:val="21"/>
        </w:rPr>
        <w:t>作为主编、副主编编写《药理学》各1部、参加编写各类教材4部。先后当选为《中华中医药杂志》、《中国实验方剂学杂志》、《中药材》、《中国医院药学杂志》、《Frontiers in Bioscience-Landmark》等10余家国内外期刊编委。获得发明专利7项。作为第一获奖人先后获得贵州省科技进步三等奖3项、贵州省医学科技奖一等奖与三等奖各1项、贵州省高等学校教学成果三等奖，贵州省研究生教学成果二等奖与贵州省教育科学研究优秀成果奖三等奖各1项；作为第二获奖人获得贵州省高等学校科学研究优秀成果奖（科学技术）自然科学三等奖和贵州省医学科技奖二等奖各1项。秉承</w:t>
      </w:r>
      <w:r>
        <w:rPr>
          <w:rFonts w:hint="eastAsia" w:ascii="Times New Roman" w:hAnsi="Times New Roman" w:cs="Times New Roman"/>
          <w:b w:val="0"/>
          <w:bCs w:val="0"/>
          <w:szCs w:val="21"/>
          <w:lang w:eastAsia="zh-CN"/>
        </w:rPr>
        <w:t>“</w:t>
      </w:r>
      <w:r>
        <w:rPr>
          <w:rFonts w:hint="default" w:ascii="Times New Roman" w:hAnsi="Times New Roman" w:cs="Times New Roman"/>
          <w:b w:val="0"/>
          <w:bCs w:val="0"/>
          <w:szCs w:val="21"/>
        </w:rPr>
        <w:t>传承精华 守正创新</w:t>
      </w:r>
      <w:r>
        <w:rPr>
          <w:rFonts w:hint="eastAsia" w:ascii="Times New Roman" w:hAnsi="Times New Roman" w:cs="Times New Roman"/>
          <w:b w:val="0"/>
          <w:bCs w:val="0"/>
          <w:szCs w:val="21"/>
          <w:lang w:eastAsia="zh-CN"/>
        </w:rPr>
        <w:t>”</w:t>
      </w:r>
      <w:r>
        <w:rPr>
          <w:rFonts w:hint="default" w:ascii="Times New Roman" w:hAnsi="Times New Roman" w:cs="Times New Roman"/>
          <w:b w:val="0"/>
          <w:bCs w:val="0"/>
          <w:szCs w:val="21"/>
        </w:rPr>
        <w:t>的中医药创新指导原则，依托贵州区域特色天然药物资源与民族医药理论体系，利用现代生命科学与药理学的技术与方法，围绕天然功能小分子物质发现、筛选与调控，凝练形成三个明确的研究方向：心脑血管药物药理学、天然功能小分子物质化学生物学、新型药物递送与成药性评价。形成以重大疾病关键病理环节模型为中心的天然药物功能发现与应用的创新研究体系，分析研究艳山姜、苦参、天麻等贵州特色大宗药材质量、活性及新型药物递送系统，为当前创新药物的研究理论体系提供有益的补充。先后与多个企业合作，完成贵州特色苗药质量提升与新药理作用探索，为民族药资源的优效利用提供理论指导和实验基础，为区域医药经济提供了技术支撑，有利促进贵州医药经济社会的发展，产生了巨大的社会效应与经济效益。</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both"/>
        <w:textAlignment w:val="baseline"/>
        <w:rPr>
          <w:rFonts w:ascii="Times New Roman" w:hAnsi="Times New Roman" w:cs="Times New Roman"/>
          <w:b w:val="0"/>
          <w:bCs w:val="0"/>
          <w:szCs w:val="21"/>
        </w:rPr>
      </w:pPr>
      <w:r>
        <w:rPr>
          <w:rFonts w:hint="eastAsia" w:ascii="Times New Roman" w:hAnsi="Times New Roman" w:cs="Times New Roman"/>
          <w:b/>
          <w:bCs/>
          <w:szCs w:val="21"/>
        </w:rPr>
        <w:t>胡庆华</w:t>
      </w:r>
      <w:r>
        <w:rPr>
          <w:rFonts w:hint="eastAsia" w:ascii="Times New Roman" w:hAnsi="Times New Roman" w:cs="Times New Roman"/>
          <w:b w:val="0"/>
          <w:bCs w:val="0"/>
          <w:szCs w:val="21"/>
        </w:rPr>
        <w:t>，男，1985年10月生，教授，博士生导师，现任中国药科大学研究生院副院长、药学院药理系副主任、“转化药理学”校企联合实验室主任。中国药理学会心血管药理专业委员会第二届青委会副主任委员，第十三届全国大学生创新创业年会优秀指导教师，江苏省“青蓝工程”优秀青年骨干教师。2002-2006年在南京大学匡亚明学院学习获学士学位，2006-2011年在南京大学硕博连读并获博士学位，研究方向为炎症相关疾病治疗靶标发现和新药研发，先后主持3项国家自然科学基金项目、1项江苏省自然科学基金项目和多项企事业横向合作课题。以第一作者或通讯作者在J Adv Res、Cell Death Dis、Drug Discov Today、J Med Chem、Mol Pharm、Biochem Pharmacol、Int J Cardiol、Phytomedicine等期刊发表论文30余篇；作为第一发明人申请发明专利4项，授权2项，完成专利申请权转让1项；”十二五”规划教材《药理学》、《药物毒理学》编委，Signal Transduct Tar、Br J Pharmacol、J Med Chem等杂志审稿人。</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53244E"/>
    <w:rsid w:val="0D38339B"/>
    <w:rsid w:val="199B2ED2"/>
    <w:rsid w:val="207902D0"/>
    <w:rsid w:val="21CC0415"/>
    <w:rsid w:val="3968109D"/>
    <w:rsid w:val="54DC0A90"/>
    <w:rsid w:val="5A9768E5"/>
    <w:rsid w:val="5D512238"/>
    <w:rsid w:val="5F731693"/>
    <w:rsid w:val="62A14C00"/>
    <w:rsid w:val="6ED94165"/>
    <w:rsid w:val="6FB84A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444444"/>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2021-10-04T00:50:00Z</dcterms:created>
  <dc:creator>Administrator</dc:creator>
  <cp:lastModifiedBy>莲</cp:lastModifiedBy>
  <cp:lastPrinted>2021-10-04T01:14:00Z</cp:lastPrinted>
  <dcterms:modified xsi:type="dcterms:W3CDTF">2021-10-13T08:15:56Z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1C97EF5054C34E95A27C18A2C909CEAF</vt:lpwstr>
  </property>
</Properties>
</file>